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871F32" w:rsidRPr="00094ABD" w:rsidTr="00EE3D64">
        <w:trPr>
          <w:trHeight w:hRule="exact" w:val="765"/>
        </w:trPr>
        <w:tc>
          <w:tcPr>
            <w:tcW w:w="7655" w:type="dxa"/>
            <w:vAlign w:val="bottom"/>
          </w:tcPr>
          <w:p w:rsidR="00871F32" w:rsidRPr="00094ABD" w:rsidRDefault="00871F32" w:rsidP="00EE3D64">
            <w:r>
              <w:t xml:space="preserve">Til høringsparterne </w:t>
            </w:r>
          </w:p>
        </w:tc>
      </w:tr>
    </w:tbl>
    <w:p w:rsidR="00871F32" w:rsidRDefault="00871F32" w:rsidP="00871F32"/>
    <w:p w:rsidR="00871F32" w:rsidRPr="003535E5" w:rsidRDefault="00871F32" w:rsidP="00871F32">
      <w:pPr>
        <w:rPr>
          <w:b/>
        </w:rPr>
      </w:pPr>
      <w:r>
        <w:rPr>
          <w:b/>
        </w:rPr>
        <w:t>Høring over § 1, nr. 9, og § 3, stk. 10-1</w:t>
      </w:r>
      <w:r w:rsidR="00550F2C">
        <w:rPr>
          <w:b/>
        </w:rPr>
        <w:t>3</w:t>
      </w:r>
      <w:r w:rsidR="0016303E">
        <w:rPr>
          <w:b/>
        </w:rPr>
        <w:t>,</w:t>
      </w:r>
      <w:r>
        <w:rPr>
          <w:b/>
        </w:rPr>
        <w:t xml:space="preserve"> i forslag til lov om ændring af skatteforvaltningsloven og ligningsloven (Omkostningsgodtgørelse til skattepligtige selskaber og fonde, udskydelse af søgsmålsfristen ved klage til ombudsmanden, overførelse af sager om fradrag for forbedring af grundværdi fra Landsskatteretten til vurderingsankenævnene, ingen omkostningsgodtgørelse ved påklage af afgørelser om godtgørelse og ved overspringelse af klageinstans i sager om ejendomsvurdering, initiativer til imødegåelse af misbrug af godtgørelsesordningen mv.) (L </w:t>
      </w:r>
      <w:r w:rsidR="00550F2C">
        <w:rPr>
          <w:b/>
        </w:rPr>
        <w:t>28</w:t>
      </w:r>
      <w:r>
        <w:rPr>
          <w:b/>
        </w:rPr>
        <w:t>)</w:t>
      </w:r>
    </w:p>
    <w:p w:rsidR="00871F32" w:rsidRDefault="00871F32" w:rsidP="00871F32"/>
    <w:p w:rsidR="00871F32" w:rsidRDefault="00871F32" w:rsidP="00871F32">
      <w:pPr>
        <w:keepNext/>
        <w:keepLines/>
      </w:pPr>
      <w:r>
        <w:t>Ovennævnte lovforslag er i dag fremsat i Folketinget som forslag L</w:t>
      </w:r>
      <w:r w:rsidR="00332C3B">
        <w:t xml:space="preserve"> 28</w:t>
      </w:r>
      <w:bookmarkStart w:id="0" w:name="_GoBack"/>
      <w:bookmarkEnd w:id="0"/>
      <w:r>
        <w:t xml:space="preserve"> . I forhold til det udkast til lovforslag, som blev sendt på høring den 24. juni 2016, er lovforslaget blevet udbygget med bestemmelserne i § 1, nr. 9, og § 3, stk. 10-1</w:t>
      </w:r>
      <w:r w:rsidR="00550F2C">
        <w:t>3</w:t>
      </w:r>
      <w:r>
        <w:t xml:space="preserve">. </w:t>
      </w:r>
    </w:p>
    <w:p w:rsidR="00871F32" w:rsidRDefault="00871F32" w:rsidP="00871F32">
      <w:pPr>
        <w:keepNext/>
        <w:keepLines/>
      </w:pPr>
    </w:p>
    <w:p w:rsidR="00537071" w:rsidRPr="00537071" w:rsidRDefault="008E24A7" w:rsidP="00537071">
      <w:pPr>
        <w:keepNext/>
        <w:keepLines/>
        <w:rPr>
          <w:iCs/>
          <w:color w:val="000000"/>
        </w:rPr>
      </w:pPr>
      <w:r>
        <w:t xml:space="preserve">Efter </w:t>
      </w:r>
      <w:r w:rsidRPr="008E24A7">
        <w:rPr>
          <w:i/>
        </w:rPr>
        <w:t>§ 1, nr. 9,</w:t>
      </w:r>
      <w:r>
        <w:t xml:space="preserve"> kan der ikke ydes omkostningsgodtgørelse, hvis en vurderingssag indbringes for domstolene efter overspringsreglen i skatteforvaltningslovens § 48, stk. 2. Bestemmelsen har efter lovforslagets § 3, stk. 3, virkning for</w:t>
      </w:r>
      <w:r w:rsidR="00537071">
        <w:t xml:space="preserve"> a</w:t>
      </w:r>
      <w:r w:rsidR="00537071">
        <w:rPr>
          <w:iCs/>
          <w:color w:val="000000"/>
        </w:rPr>
        <w:t xml:space="preserve">fgørelser, </w:t>
      </w:r>
      <w:r w:rsidR="00537071" w:rsidRPr="00537071">
        <w:rPr>
          <w:iCs/>
          <w:color w:val="000000"/>
        </w:rPr>
        <w:t xml:space="preserve">som </w:t>
      </w:r>
      <w:r w:rsidR="00537071">
        <w:rPr>
          <w:iCs/>
          <w:color w:val="000000"/>
        </w:rPr>
        <w:t>i</w:t>
      </w:r>
      <w:r w:rsidR="00537071" w:rsidRPr="00537071">
        <w:rPr>
          <w:iCs/>
          <w:color w:val="000000"/>
        </w:rPr>
        <w:t xml:space="preserve">ndbringes for domstolene den 5. oktober 2016 eller senere. </w:t>
      </w:r>
      <w:r w:rsidR="00537071">
        <w:rPr>
          <w:iCs/>
          <w:color w:val="000000"/>
        </w:rPr>
        <w:t xml:space="preserve">Dog godtgøres </w:t>
      </w:r>
      <w:r w:rsidR="00537071" w:rsidRPr="00537071">
        <w:rPr>
          <w:iCs/>
          <w:color w:val="000000"/>
        </w:rPr>
        <w:t>udgifter til sagkyndig bistand, som afholdes i perioden 5. oktober 2016 til 31. december 2016, efter de almindelige regler i skatteforvaltningslovens kapitel 19.</w:t>
      </w:r>
    </w:p>
    <w:p w:rsidR="00537071" w:rsidRDefault="00537071" w:rsidP="00871F32">
      <w:pPr>
        <w:keepNext/>
        <w:keepLines/>
      </w:pPr>
    </w:p>
    <w:p w:rsidR="008E24A7" w:rsidRDefault="008E24A7" w:rsidP="00871F32">
      <w:pPr>
        <w:keepNext/>
        <w:keepLines/>
      </w:pPr>
      <w:r>
        <w:t xml:space="preserve">Om baggrunden </w:t>
      </w:r>
      <w:r w:rsidR="00537071">
        <w:t xml:space="preserve">for forslaget </w:t>
      </w:r>
      <w:r>
        <w:t xml:space="preserve">henvises der til </w:t>
      </w:r>
      <w:r w:rsidR="00081444">
        <w:t xml:space="preserve">de almindelige bemærkninger i </w:t>
      </w:r>
      <w:r>
        <w:t>afsnit 3.</w:t>
      </w:r>
      <w:r w:rsidR="00537071">
        <w:t>6.</w:t>
      </w:r>
      <w:r>
        <w:t xml:space="preserve"> </w:t>
      </w:r>
    </w:p>
    <w:p w:rsidR="008E24A7" w:rsidRDefault="008E24A7" w:rsidP="00871F32">
      <w:pPr>
        <w:keepNext/>
        <w:keepLines/>
      </w:pPr>
    </w:p>
    <w:p w:rsidR="00537071" w:rsidRDefault="008E24A7" w:rsidP="00871F32">
      <w:pPr>
        <w:keepNext/>
        <w:keepLines/>
      </w:pPr>
      <w:r>
        <w:t xml:space="preserve">Efter </w:t>
      </w:r>
      <w:r w:rsidRPr="00537071">
        <w:rPr>
          <w:i/>
        </w:rPr>
        <w:t>§ 3, stk. 10-1</w:t>
      </w:r>
      <w:r w:rsidR="00550F2C">
        <w:rPr>
          <w:i/>
        </w:rPr>
        <w:t>3</w:t>
      </w:r>
      <w:r w:rsidRPr="00537071">
        <w:rPr>
          <w:i/>
        </w:rPr>
        <w:t>,</w:t>
      </w:r>
      <w:r>
        <w:t xml:space="preserve"> </w:t>
      </w:r>
      <w:r w:rsidR="00537071">
        <w:t xml:space="preserve">overføres sagerne om fradrag for forbedring af grundværdi (FFF-sagerne) fra Landsskatteretten til vurderingsankenævnene med enkelte undtagelser. Det sker 1. januar 2017. Der ydes ikke omkostningsgodtgørelse for sagkyndigt arbejde, som udføres efter lovens ikrafttræden i de sager, som overføres til vurderingsankenævnene. </w:t>
      </w:r>
      <w:r w:rsidR="00081444">
        <w:t>F</w:t>
      </w:r>
      <w:r w:rsidR="00537071">
        <w:t xml:space="preserve">ordeling </w:t>
      </w:r>
      <w:r w:rsidR="00081444">
        <w:t xml:space="preserve">af </w:t>
      </w:r>
      <w:r w:rsidR="00537071">
        <w:t>FFF-sagerne</w:t>
      </w:r>
      <w:r w:rsidR="00081444">
        <w:t xml:space="preserve"> på vurderingsankenævn fastsættes i en bekendtgørelse</w:t>
      </w:r>
      <w:r w:rsidR="00537071">
        <w:t>.</w:t>
      </w:r>
    </w:p>
    <w:p w:rsidR="00537071" w:rsidRDefault="00537071" w:rsidP="00871F32">
      <w:pPr>
        <w:keepNext/>
        <w:keepLines/>
      </w:pPr>
    </w:p>
    <w:p w:rsidR="008E24A7" w:rsidRDefault="00537071" w:rsidP="00871F32">
      <w:pPr>
        <w:keepNext/>
        <w:keepLines/>
      </w:pPr>
      <w:r>
        <w:t xml:space="preserve">Om baggrunden for forslaget henvises der til </w:t>
      </w:r>
      <w:r w:rsidR="00081444">
        <w:t xml:space="preserve">de almindelige bemærkninger i </w:t>
      </w:r>
      <w:r>
        <w:t xml:space="preserve">afsnit 3.3.         </w:t>
      </w:r>
      <w:r w:rsidR="008E24A7">
        <w:t xml:space="preserve">    </w:t>
      </w:r>
    </w:p>
    <w:p w:rsidR="008E24A7" w:rsidRDefault="008E24A7" w:rsidP="00871F32">
      <w:pPr>
        <w:keepNext/>
        <w:keepLines/>
      </w:pPr>
    </w:p>
    <w:p w:rsidR="00871F32" w:rsidRPr="00871F32" w:rsidRDefault="00871F32" w:rsidP="00871F32">
      <w:pPr>
        <w:keepNext/>
        <w:keepLines/>
        <w:rPr>
          <w:u w:val="single"/>
        </w:rPr>
      </w:pPr>
      <w:r>
        <w:t xml:space="preserve">Skatteministeriet skal anmode om eventuelle bemærkninger til </w:t>
      </w:r>
      <w:r w:rsidR="008E24A7">
        <w:t xml:space="preserve">ovennævnte </w:t>
      </w:r>
      <w:r>
        <w:t xml:space="preserve">bestemmelser </w:t>
      </w:r>
      <w:r w:rsidRPr="00871F32">
        <w:rPr>
          <w:u w:val="single"/>
        </w:rPr>
        <w:t>senest onsdag den 2. november 2016 kl. 12.</w:t>
      </w:r>
    </w:p>
    <w:p w:rsidR="00871F32" w:rsidRDefault="00871F32" w:rsidP="00871F32">
      <w:pPr>
        <w:keepNext/>
        <w:keepLines/>
      </w:pPr>
    </w:p>
    <w:p w:rsidR="00871F32" w:rsidRDefault="00871F32" w:rsidP="00871F32">
      <w:pPr>
        <w:keepNext/>
        <w:keepLines/>
      </w:pPr>
      <w:r>
        <w:t xml:space="preserve">Det fremsatte lovforslag og høringsliste vedlægges. </w:t>
      </w:r>
    </w:p>
    <w:p w:rsidR="00871F32" w:rsidRDefault="00871F32" w:rsidP="00871F32">
      <w:pPr>
        <w:keepNext/>
        <w:keepLines/>
        <w:rPr>
          <w:b/>
        </w:rPr>
      </w:pPr>
    </w:p>
    <w:p w:rsidR="00871F32" w:rsidRDefault="00871F32" w:rsidP="00871F32">
      <w:pPr>
        <w:keepNext/>
        <w:keepLines/>
      </w:pPr>
      <w:r>
        <w:t xml:space="preserve">Høringssvar bedes sendt til </w:t>
      </w:r>
      <w:hyperlink r:id="rId9" w:history="1">
        <w:r w:rsidRPr="00260EF0">
          <w:rPr>
            <w:rStyle w:val="Hyperlink"/>
          </w:rPr>
          <w:t>lovgivningogoekonomi@skm.dk</w:t>
        </w:r>
      </w:hyperlink>
      <w:r>
        <w:t xml:space="preserve"> under henvisning til j.nr. 15-2232670. </w:t>
      </w:r>
    </w:p>
    <w:p w:rsidR="00871F32" w:rsidRDefault="00871F32" w:rsidP="00871F32">
      <w:pPr>
        <w:keepNext/>
        <w:keepLines/>
      </w:pPr>
    </w:p>
    <w:p w:rsidR="00871F32" w:rsidRDefault="00871F32" w:rsidP="00871F32">
      <w:pPr>
        <w:keepNext/>
        <w:keepLines/>
      </w:pPr>
      <w:r>
        <w:t xml:space="preserve">Eventuelle spørgsmål vedrørende de nævnte bestemmelser kan rettes til undertegnede på tlf. 72 37 </w:t>
      </w:r>
    </w:p>
    <w:p w:rsidR="00871F32" w:rsidRPr="008C3090" w:rsidRDefault="00871F32" w:rsidP="00871F32">
      <w:pPr>
        <w:keepNext/>
        <w:keepLines/>
        <w:rPr>
          <w:lang w:val="en-US"/>
        </w:rPr>
      </w:pPr>
      <w:r w:rsidRPr="008C3090">
        <w:rPr>
          <w:lang w:val="en-US"/>
        </w:rPr>
        <w:t xml:space="preserve">47 62, e-mail </w:t>
      </w:r>
      <w:r w:rsidR="000477CD">
        <w:fldChar w:fldCharType="begin"/>
      </w:r>
      <w:r w:rsidR="000477CD" w:rsidRPr="00332C3B">
        <w:rPr>
          <w:lang w:val="en-US"/>
        </w:rPr>
        <w:instrText xml:space="preserve"> HYPERLINK "mailto:tgn@skm.dk" </w:instrText>
      </w:r>
      <w:r w:rsidR="000477CD">
        <w:fldChar w:fldCharType="separate"/>
      </w:r>
      <w:r w:rsidRPr="008C3090">
        <w:rPr>
          <w:rStyle w:val="Hyperlink"/>
          <w:lang w:val="en-US"/>
        </w:rPr>
        <w:t>tgn@skm.dk</w:t>
      </w:r>
      <w:r w:rsidR="000477CD">
        <w:rPr>
          <w:rStyle w:val="Hyperlink"/>
          <w:lang w:val="en-US"/>
        </w:rPr>
        <w:fldChar w:fldCharType="end"/>
      </w:r>
      <w:r w:rsidRPr="008C3090">
        <w:rPr>
          <w:lang w:val="en-US"/>
        </w:rPr>
        <w:t xml:space="preserve"> </w:t>
      </w:r>
      <w:proofErr w:type="spellStart"/>
      <w:r w:rsidRPr="008C3090">
        <w:rPr>
          <w:lang w:val="en-US"/>
        </w:rPr>
        <w:t>eller</w:t>
      </w:r>
      <w:proofErr w:type="spellEnd"/>
      <w:r w:rsidRPr="008C3090">
        <w:rPr>
          <w:lang w:val="en-US"/>
        </w:rPr>
        <w:t xml:space="preserve"> Camilla Dyhr, </w:t>
      </w:r>
      <w:proofErr w:type="spellStart"/>
      <w:r w:rsidRPr="008C3090">
        <w:rPr>
          <w:lang w:val="en-US"/>
        </w:rPr>
        <w:t>tlf</w:t>
      </w:r>
      <w:proofErr w:type="spellEnd"/>
      <w:r w:rsidRPr="008C3090">
        <w:rPr>
          <w:lang w:val="en-US"/>
        </w:rPr>
        <w:t xml:space="preserve">. 72 37 63 73, e-mail </w:t>
      </w:r>
      <w:hyperlink r:id="rId10" w:history="1">
        <w:r w:rsidRPr="008C3090">
          <w:rPr>
            <w:rStyle w:val="Hyperlink"/>
            <w:lang w:val="en-US"/>
          </w:rPr>
          <w:t>cd@skm.dk</w:t>
        </w:r>
      </w:hyperlink>
      <w:r w:rsidRPr="008C3090">
        <w:rPr>
          <w:lang w:val="en-US"/>
        </w:rPr>
        <w:t>.</w:t>
      </w:r>
    </w:p>
    <w:p w:rsidR="00871F32" w:rsidRPr="008C3090" w:rsidRDefault="00871F32" w:rsidP="00871F32">
      <w:pPr>
        <w:keepNext/>
        <w:keepLines/>
        <w:rPr>
          <w:lang w:val="en-US"/>
        </w:rPr>
      </w:pPr>
    </w:p>
    <w:p w:rsidR="00871F32" w:rsidRDefault="00871F32" w:rsidP="00871F32">
      <w:pPr>
        <w:keepNext/>
        <w:keepLines/>
      </w:pPr>
      <w:r>
        <w:t>Med venlig hilsen</w:t>
      </w:r>
    </w:p>
    <w:p w:rsidR="00871F32" w:rsidRDefault="00871F32" w:rsidP="00871F32">
      <w:pPr>
        <w:keepNext/>
        <w:keepLines/>
      </w:pPr>
    </w:p>
    <w:p w:rsidR="00871F32" w:rsidRPr="00F37F63" w:rsidRDefault="00871F32" w:rsidP="00871F32">
      <w:r>
        <w:t>Tony Gønge Nielsen</w:t>
      </w:r>
    </w:p>
    <w:p w:rsidR="000A306A" w:rsidRPr="00871F32" w:rsidRDefault="000A306A" w:rsidP="00871F32"/>
    <w:sectPr w:rsidR="000A306A" w:rsidRPr="00871F32" w:rsidSect="0059149B">
      <w:headerReference w:type="default" r:id="rId11"/>
      <w:footerReference w:type="first" r:id="rId12"/>
      <w:pgSz w:w="11906" w:h="16838"/>
      <w:pgMar w:top="1701" w:right="1134" w:bottom="1701" w:left="1134" w:header="198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CD" w:rsidRDefault="000477CD" w:rsidP="00502464">
      <w:r>
        <w:separator/>
      </w:r>
    </w:p>
  </w:endnote>
  <w:endnote w:type="continuationSeparator" w:id="0">
    <w:p w:rsidR="000477CD" w:rsidRDefault="000477CD" w:rsidP="005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FD" w:rsidRPr="00094ABD" w:rsidRDefault="008B4BFD" w:rsidP="008B4BFD">
    <w:pPr>
      <w:pStyle w:val="Sidefod"/>
    </w:pPr>
  </w:p>
  <w:p w:rsidR="0059149B" w:rsidRDefault="005914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CD" w:rsidRDefault="000477CD" w:rsidP="00502464">
      <w:r>
        <w:separator/>
      </w:r>
    </w:p>
  </w:footnote>
  <w:footnote w:type="continuationSeparator" w:id="0">
    <w:p w:rsidR="000477CD" w:rsidRDefault="000477CD" w:rsidP="0050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29047"/>
      <w:docPartObj>
        <w:docPartGallery w:val="Page Numbers (Top of Page)"/>
        <w:docPartUnique/>
      </w:docPartObj>
    </w:sdtPr>
    <w:sdtEndPr/>
    <w:sdtContent>
      <w:p w:rsidR="005E1C3E" w:rsidRDefault="005E1C3E">
        <w:pPr>
          <w:pStyle w:val="Sidehoved"/>
          <w:jc w:val="center"/>
        </w:pPr>
        <w:r>
          <w:fldChar w:fldCharType="begin"/>
        </w:r>
        <w:r>
          <w:instrText>PAGE   \* MERGEFORMAT</w:instrText>
        </w:r>
        <w:r>
          <w:fldChar w:fldCharType="separate"/>
        </w:r>
        <w:r w:rsidR="00871F32">
          <w:rPr>
            <w:noProof/>
          </w:rPr>
          <w:t>5</w:t>
        </w:r>
        <w:r>
          <w:fldChar w:fldCharType="end"/>
        </w:r>
      </w:p>
    </w:sdtContent>
  </w:sdt>
  <w:p w:rsidR="00F82FA8" w:rsidRDefault="00F82FA8" w:rsidP="0059149B">
    <w:pPr>
      <w:pStyle w:val="Sidehoved"/>
      <w:tabs>
        <w:tab w:val="clear" w:pos="4819"/>
        <w:tab w:val="clear" w:pos="9638"/>
        <w:tab w:val="left" w:pos="234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166"/>
    <w:multiLevelType w:val="hybridMultilevel"/>
    <w:tmpl w:val="AB8CC3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8C6587"/>
    <w:multiLevelType w:val="multilevel"/>
    <w:tmpl w:val="228EF41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B2"/>
    <w:rsid w:val="00031EE1"/>
    <w:rsid w:val="00037AA3"/>
    <w:rsid w:val="000477CD"/>
    <w:rsid w:val="00060330"/>
    <w:rsid w:val="00081444"/>
    <w:rsid w:val="000A306A"/>
    <w:rsid w:val="000A4E44"/>
    <w:rsid w:val="000B33F3"/>
    <w:rsid w:val="000E0FB6"/>
    <w:rsid w:val="0013658A"/>
    <w:rsid w:val="0016303E"/>
    <w:rsid w:val="00234C02"/>
    <w:rsid w:val="002521AF"/>
    <w:rsid w:val="002900AE"/>
    <w:rsid w:val="002F2350"/>
    <w:rsid w:val="00317ABC"/>
    <w:rsid w:val="00332C3B"/>
    <w:rsid w:val="00426BB2"/>
    <w:rsid w:val="00445435"/>
    <w:rsid w:val="004971E4"/>
    <w:rsid w:val="00497E4A"/>
    <w:rsid w:val="004C4314"/>
    <w:rsid w:val="00502464"/>
    <w:rsid w:val="00537071"/>
    <w:rsid w:val="00550F2C"/>
    <w:rsid w:val="0059149B"/>
    <w:rsid w:val="005C4A19"/>
    <w:rsid w:val="005E1C3E"/>
    <w:rsid w:val="005F5E46"/>
    <w:rsid w:val="006F40D8"/>
    <w:rsid w:val="007601BA"/>
    <w:rsid w:val="007A7C33"/>
    <w:rsid w:val="007C4CCF"/>
    <w:rsid w:val="0082243F"/>
    <w:rsid w:val="008565FC"/>
    <w:rsid w:val="00871F32"/>
    <w:rsid w:val="008B2213"/>
    <w:rsid w:val="008B4BFD"/>
    <w:rsid w:val="008C7AD0"/>
    <w:rsid w:val="008E24A7"/>
    <w:rsid w:val="0099515B"/>
    <w:rsid w:val="009A7CE2"/>
    <w:rsid w:val="00A3480B"/>
    <w:rsid w:val="00AD232F"/>
    <w:rsid w:val="00BA2870"/>
    <w:rsid w:val="00BC08EE"/>
    <w:rsid w:val="00BF796F"/>
    <w:rsid w:val="00C45EC9"/>
    <w:rsid w:val="00CB3262"/>
    <w:rsid w:val="00CC6D4A"/>
    <w:rsid w:val="00D66A75"/>
    <w:rsid w:val="00DB1C6C"/>
    <w:rsid w:val="00ED367B"/>
    <w:rsid w:val="00ED4329"/>
    <w:rsid w:val="00F56BCD"/>
    <w:rsid w:val="00F82FA8"/>
    <w:rsid w:val="00FC0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21"/>
    <w:lsdException w:name="caption" w:uiPriority="35" w:qFormat="1"/>
    <w:lsdException w:name="footnote reference" w:uiPriority="0"/>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50246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02464"/>
    <w:rPr>
      <w:rFonts w:ascii="Arial" w:eastAsia="Arial Unicode MS" w:hAnsi="Arial" w:cs="Arial"/>
      <w:sz w:val="30"/>
      <w:szCs w:val="24"/>
      <w:lang w:eastAsia="da-DK"/>
    </w:rPr>
  </w:style>
  <w:style w:type="character" w:styleId="Fodnotehenvisning">
    <w:name w:val="footnote reference"/>
    <w:semiHidden/>
    <w:rsid w:val="00502464"/>
  </w:style>
  <w:style w:type="paragraph" w:styleId="Sidehoved">
    <w:name w:val="header"/>
    <w:basedOn w:val="Normal"/>
    <w:link w:val="SidehovedTegn"/>
    <w:uiPriority w:val="99"/>
    <w:rsid w:val="00502464"/>
    <w:pPr>
      <w:tabs>
        <w:tab w:val="center" w:pos="4819"/>
        <w:tab w:val="right" w:pos="9638"/>
      </w:tabs>
    </w:pPr>
  </w:style>
  <w:style w:type="character" w:customStyle="1" w:styleId="SidehovedTegn">
    <w:name w:val="Sidehoved Tegn"/>
    <w:basedOn w:val="Standardskrifttypeiafsnit"/>
    <w:link w:val="Sidehoved"/>
    <w:uiPriority w:val="99"/>
    <w:rsid w:val="00502464"/>
    <w:rPr>
      <w:rFonts w:ascii="Times New Roman" w:eastAsia="Times New Roman" w:hAnsi="Times New Roman" w:cs="Times New Roman"/>
      <w:sz w:val="20"/>
      <w:szCs w:val="24"/>
      <w:lang w:eastAsia="da-DK"/>
    </w:rPr>
  </w:style>
  <w:style w:type="paragraph" w:styleId="Sidefod">
    <w:name w:val="footer"/>
    <w:basedOn w:val="Normal"/>
    <w:link w:val="SidefodTegn"/>
    <w:uiPriority w:val="21"/>
    <w:rsid w:val="00502464"/>
    <w:pPr>
      <w:tabs>
        <w:tab w:val="center" w:pos="4819"/>
        <w:tab w:val="right" w:pos="9638"/>
      </w:tabs>
    </w:pPr>
  </w:style>
  <w:style w:type="character" w:customStyle="1" w:styleId="SidefodTegn">
    <w:name w:val="Sidefod Tegn"/>
    <w:basedOn w:val="Standardskrifttypeiafsnit"/>
    <w:link w:val="Sidefod"/>
    <w:uiPriority w:val="21"/>
    <w:rsid w:val="00502464"/>
    <w:rPr>
      <w:rFonts w:ascii="Times New Roman" w:eastAsia="Times New Roman" w:hAnsi="Times New Roman" w:cs="Times New Roman"/>
      <w:sz w:val="20"/>
      <w:szCs w:val="24"/>
      <w:lang w:eastAsia="da-DK"/>
    </w:rPr>
  </w:style>
  <w:style w:type="paragraph" w:styleId="Fodnotetekst">
    <w:name w:val="footnote text"/>
    <w:basedOn w:val="Normal"/>
    <w:link w:val="FodnotetekstTegn"/>
    <w:rsid w:val="00502464"/>
    <w:rPr>
      <w:szCs w:val="20"/>
    </w:rPr>
  </w:style>
  <w:style w:type="character" w:customStyle="1" w:styleId="FodnotetekstTegn">
    <w:name w:val="Fodnotetekst Tegn"/>
    <w:basedOn w:val="Standardskrifttypeiafsnit"/>
    <w:link w:val="Fodnotetekst"/>
    <w:rsid w:val="00502464"/>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234C02"/>
    <w:pPr>
      <w:ind w:left="720"/>
      <w:contextualSpacing/>
    </w:pPr>
  </w:style>
  <w:style w:type="paragraph" w:styleId="Markeringsbobletekst">
    <w:name w:val="Balloon Text"/>
    <w:basedOn w:val="Normal"/>
    <w:link w:val="MarkeringsbobletekstTegn"/>
    <w:uiPriority w:val="99"/>
    <w:semiHidden/>
    <w:unhideWhenUsed/>
    <w:rsid w:val="00234C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4C02"/>
    <w:rPr>
      <w:rFonts w:ascii="Segoe UI" w:eastAsia="Times New Roman" w:hAnsi="Segoe UI" w:cs="Segoe UI"/>
      <w:sz w:val="18"/>
      <w:szCs w:val="18"/>
      <w:lang w:eastAsia="da-DK"/>
    </w:rPr>
  </w:style>
  <w:style w:type="character" w:styleId="Sidetal">
    <w:name w:val="page number"/>
    <w:basedOn w:val="Standardskrifttypeiafsnit"/>
    <w:uiPriority w:val="21"/>
    <w:rsid w:val="00BC08EE"/>
    <w:rPr>
      <w:rFonts w:ascii="Arial" w:hAnsi="Arial"/>
      <w:sz w:val="14"/>
    </w:rPr>
  </w:style>
  <w:style w:type="character" w:styleId="Hyperlink">
    <w:name w:val="Hyperlink"/>
    <w:rsid w:val="00A3480B"/>
    <w:rPr>
      <w:color w:val="0000FF"/>
      <w:u w:val="single"/>
    </w:rPr>
  </w:style>
  <w:style w:type="table" w:styleId="Tabel-Gitter">
    <w:name w:val="Table Grid"/>
    <w:basedOn w:val="Tabel-Normal"/>
    <w:uiPriority w:val="59"/>
    <w:rsid w:val="00871F32"/>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21"/>
    <w:lsdException w:name="caption" w:uiPriority="35" w:qFormat="1"/>
    <w:lsdException w:name="footnote reference" w:uiPriority="0"/>
    <w:lsdException w:name="page number" w:uiPriority="2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50246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02464"/>
    <w:rPr>
      <w:rFonts w:ascii="Arial" w:eastAsia="Arial Unicode MS" w:hAnsi="Arial" w:cs="Arial"/>
      <w:sz w:val="30"/>
      <w:szCs w:val="24"/>
      <w:lang w:eastAsia="da-DK"/>
    </w:rPr>
  </w:style>
  <w:style w:type="character" w:styleId="Fodnotehenvisning">
    <w:name w:val="footnote reference"/>
    <w:semiHidden/>
    <w:rsid w:val="00502464"/>
  </w:style>
  <w:style w:type="paragraph" w:styleId="Sidehoved">
    <w:name w:val="header"/>
    <w:basedOn w:val="Normal"/>
    <w:link w:val="SidehovedTegn"/>
    <w:uiPriority w:val="99"/>
    <w:rsid w:val="00502464"/>
    <w:pPr>
      <w:tabs>
        <w:tab w:val="center" w:pos="4819"/>
        <w:tab w:val="right" w:pos="9638"/>
      </w:tabs>
    </w:pPr>
  </w:style>
  <w:style w:type="character" w:customStyle="1" w:styleId="SidehovedTegn">
    <w:name w:val="Sidehoved Tegn"/>
    <w:basedOn w:val="Standardskrifttypeiafsnit"/>
    <w:link w:val="Sidehoved"/>
    <w:uiPriority w:val="99"/>
    <w:rsid w:val="00502464"/>
    <w:rPr>
      <w:rFonts w:ascii="Times New Roman" w:eastAsia="Times New Roman" w:hAnsi="Times New Roman" w:cs="Times New Roman"/>
      <w:sz w:val="20"/>
      <w:szCs w:val="24"/>
      <w:lang w:eastAsia="da-DK"/>
    </w:rPr>
  </w:style>
  <w:style w:type="paragraph" w:styleId="Sidefod">
    <w:name w:val="footer"/>
    <w:basedOn w:val="Normal"/>
    <w:link w:val="SidefodTegn"/>
    <w:uiPriority w:val="21"/>
    <w:rsid w:val="00502464"/>
    <w:pPr>
      <w:tabs>
        <w:tab w:val="center" w:pos="4819"/>
        <w:tab w:val="right" w:pos="9638"/>
      </w:tabs>
    </w:pPr>
  </w:style>
  <w:style w:type="character" w:customStyle="1" w:styleId="SidefodTegn">
    <w:name w:val="Sidefod Tegn"/>
    <w:basedOn w:val="Standardskrifttypeiafsnit"/>
    <w:link w:val="Sidefod"/>
    <w:uiPriority w:val="21"/>
    <w:rsid w:val="00502464"/>
    <w:rPr>
      <w:rFonts w:ascii="Times New Roman" w:eastAsia="Times New Roman" w:hAnsi="Times New Roman" w:cs="Times New Roman"/>
      <w:sz w:val="20"/>
      <w:szCs w:val="24"/>
      <w:lang w:eastAsia="da-DK"/>
    </w:rPr>
  </w:style>
  <w:style w:type="paragraph" w:styleId="Fodnotetekst">
    <w:name w:val="footnote text"/>
    <w:basedOn w:val="Normal"/>
    <w:link w:val="FodnotetekstTegn"/>
    <w:rsid w:val="00502464"/>
    <w:rPr>
      <w:szCs w:val="20"/>
    </w:rPr>
  </w:style>
  <w:style w:type="character" w:customStyle="1" w:styleId="FodnotetekstTegn">
    <w:name w:val="Fodnotetekst Tegn"/>
    <w:basedOn w:val="Standardskrifttypeiafsnit"/>
    <w:link w:val="Fodnotetekst"/>
    <w:rsid w:val="00502464"/>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234C02"/>
    <w:pPr>
      <w:ind w:left="720"/>
      <w:contextualSpacing/>
    </w:pPr>
  </w:style>
  <w:style w:type="paragraph" w:styleId="Markeringsbobletekst">
    <w:name w:val="Balloon Text"/>
    <w:basedOn w:val="Normal"/>
    <w:link w:val="MarkeringsbobletekstTegn"/>
    <w:uiPriority w:val="99"/>
    <w:semiHidden/>
    <w:unhideWhenUsed/>
    <w:rsid w:val="00234C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4C02"/>
    <w:rPr>
      <w:rFonts w:ascii="Segoe UI" w:eastAsia="Times New Roman" w:hAnsi="Segoe UI" w:cs="Segoe UI"/>
      <w:sz w:val="18"/>
      <w:szCs w:val="18"/>
      <w:lang w:eastAsia="da-DK"/>
    </w:rPr>
  </w:style>
  <w:style w:type="character" w:styleId="Sidetal">
    <w:name w:val="page number"/>
    <w:basedOn w:val="Standardskrifttypeiafsnit"/>
    <w:uiPriority w:val="21"/>
    <w:rsid w:val="00BC08EE"/>
    <w:rPr>
      <w:rFonts w:ascii="Arial" w:hAnsi="Arial"/>
      <w:sz w:val="14"/>
    </w:rPr>
  </w:style>
  <w:style w:type="character" w:styleId="Hyperlink">
    <w:name w:val="Hyperlink"/>
    <w:rsid w:val="00A3480B"/>
    <w:rPr>
      <w:color w:val="0000FF"/>
      <w:u w:val="single"/>
    </w:rPr>
  </w:style>
  <w:style w:type="table" w:styleId="Tabel-Gitter">
    <w:name w:val="Table Grid"/>
    <w:basedOn w:val="Tabel-Normal"/>
    <w:uiPriority w:val="59"/>
    <w:rsid w:val="00871F32"/>
    <w:pPr>
      <w:spacing w:after="0" w:line="240" w:lineRule="auto"/>
    </w:pPr>
    <w:rPr>
      <w:rFonts w:ascii="Garamond" w:hAnsi="Garamond"/>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d@skm.dk" TargetMode="External"/><Relationship Id="rId4" Type="http://schemas.microsoft.com/office/2007/relationships/stylesWithEffects" Target="stylesWithEffects.xml"/><Relationship Id="rId9" Type="http://schemas.openxmlformats.org/officeDocument/2006/relationships/hyperlink" Target="mailto:lovgivningogoekonomi@skm.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BCD1-7B97-4A92-8FA7-A293F8EF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359</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Camilla Dyhr</cp:lastModifiedBy>
  <cp:revision>6</cp:revision>
  <cp:lastPrinted>2016-09-29T09:04:00Z</cp:lastPrinted>
  <dcterms:created xsi:type="dcterms:W3CDTF">2016-09-26T13:58:00Z</dcterms:created>
  <dcterms:modified xsi:type="dcterms:W3CDTF">2016-10-05T07:55:00Z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Mail om ekstern høring af § 1, nr. 9, og § 3, stk. 10-12. (DOK163997556)</vt:lpwstr>
  </property>
  <property fmtid="{D5CDD505-2E9C-101B-9397-08002B2CF9AE}" pid="3" name="path">
    <vt:lpwstr>C:\Users\w17795\AppData\Local\Temp\3\Scanjour\Captia\SJ20161004142703582 [DOK163997556].DOCX</vt:lpwstr>
  </property>
  <property fmtid="{D5CDD505-2E9C-101B-9397-08002B2CF9AE}" pid="4" name="command">
    <vt:lpwstr/>
  </property>
</Properties>
</file>